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Stutton Neighbourhood Plan: Working Group Minutes of Meeting held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Monday 18th February 2019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Present: Mark Nowers, Keith Hosking, Fran Flower, Nick Pavitt, Jenny Morris, Caroline Waller, Carol Tilbury, Susan Hemmings, Ian Flower, Emma Woollard.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Apologies: Penny Greenland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Minutes of last meeting. 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Emma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name needs to be recorded as present.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 Community Infrastructure Levy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Mark is still waiting to hear from Alistair McGraw as to whether there is a better template for doing a Parish Infrastructure Investment Plan. 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Action 3.1 Mark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will contact the Parish Clerk at Cockfield to ask for a copy of their PIIP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4. 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Village Character Assessment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We agreed that we can probably do a Village Character Assessment ourselves rather than pay a consultant.  Mark mentioned that the AONB website has some documents that we can use and there is also Alison Farmer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guidance.  East Bergholt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Village Character Assessment is also worth looking at.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Action 4.1 Ian and Nick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will make a start and circulate a draft.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5. 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Sustainability Assessment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Mark will be doing this.  We will keep this item on the agenda.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6.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Call for Sites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This has been included in the Newsletter.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Action 6.1 Emma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will contact Paul Bryant at Babergh DC to try and find out who to talk to about why the land behind the Memorial wasn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t included in Babergh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Development Plan.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Action 6.2 Mark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will email Alistair McGraw to find out if he knows anything about this.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7. 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Housing Needs Survey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Carol had circulated a new draft of the covering letter.  We agreed to add the Working Group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email address and Jenny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phone number as contact for any queries when the questionnaire goes out.  We also need to add a letterhead.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Action 7.1 Jenny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will talk to Penny about a letterhead and will then finalise the covering letter and send to CAS.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8. 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Structure of the Neighbourhood Plan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Draft consultation questions for some of the sections had been circulated.  We agreed this needed further thought and a common style and structure for the questions.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Action 8.1 Jenny and Penny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will meet to draft a suggested format for the questions.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9. 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Communication Strategy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We all agreed that the Newsletter looks fantastic. 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We agreed that the meeting for village organisations will be put off until May.  We had a discussion about the practicalities of the proposed tea parties and agreed that some will need to be held in the Community Hall rather than in people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homes. Others may be held, e.g. on the green in Stutton Close or in people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homes or gardens.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Action 9.1 Susan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will distribute copies to Oak House flats.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10.  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Any Other Business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Holbrook have invited us to their consultation event on Saturday 23rd February.  Emma will go.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jc w:val="left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Date of next meeting: Monday 18th March 7-8.30pm in the Community Shop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